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50784" w14:textId="77777777" w:rsidR="00A05F30" w:rsidRDefault="003E3613" w:rsidP="00A05F30">
      <w:pPr>
        <w:pStyle w:val="1"/>
      </w:pPr>
      <w:bookmarkStart w:id="0" w:name="_GoBack"/>
      <w:bookmarkEnd w:id="0"/>
      <w:r w:rsidRPr="00A05F30">
        <w:t xml:space="preserve">Перечень необходимых сведений для проведения экспертизы видов деятельности (работ, услуг) с целью получения санитарно-эпидемиологического заключения </w:t>
      </w:r>
    </w:p>
    <w:p w14:paraId="621DEB53" w14:textId="77777777" w:rsidR="00A05F30" w:rsidRDefault="00A05F30" w:rsidP="00A05F30">
      <w:pPr>
        <w:pStyle w:val="1"/>
      </w:pPr>
    </w:p>
    <w:p w14:paraId="2FCE1A94" w14:textId="77777777" w:rsidR="00717554" w:rsidRPr="00B70AA5" w:rsidRDefault="00717554" w:rsidP="00717554">
      <w:pPr>
        <w:pStyle w:val="1"/>
        <w:rPr>
          <w:rFonts w:eastAsia="Times New Roman"/>
          <w:u w:val="single"/>
          <w:lang w:eastAsia="ru-RU"/>
        </w:rPr>
      </w:pPr>
      <w:r w:rsidRPr="00B70AA5">
        <w:rPr>
          <w:rFonts w:eastAsia="Times New Roman"/>
          <w:u w:val="single"/>
          <w:lang w:eastAsia="ru-RU"/>
        </w:rPr>
        <w:t>Использование водного объекта в целях рекреационного водопользования (пляж)</w:t>
      </w:r>
    </w:p>
    <w:p w14:paraId="486C0965" w14:textId="77777777" w:rsidR="00A05F30" w:rsidRPr="00B67C60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7096C7D4" w14:textId="01A03C7B" w:rsidR="00DC37E5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szCs w:val="24"/>
          <w:lang w:eastAsia="ru-RU"/>
        </w:rPr>
        <w:t>С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ведения из документов</w:t>
      </w:r>
      <w:r w:rsidR="00DC37E5">
        <w:rPr>
          <w:rFonts w:ascii="OpenSans" w:eastAsia="Times New Roman" w:hAnsi="OpenSans" w:cs="Times New Roman"/>
          <w:b/>
          <w:bCs/>
          <w:szCs w:val="24"/>
          <w:lang w:eastAsia="ru-RU"/>
        </w:rPr>
        <w:t xml:space="preserve"> (копии)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:</w:t>
      </w:r>
    </w:p>
    <w:p w14:paraId="637CF8D7" w14:textId="77777777" w:rsidR="00DC37E5" w:rsidRPr="00B67C60" w:rsidRDefault="00DC37E5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39FBE5F1" w14:textId="77777777" w:rsidR="00717554" w:rsidRPr="001E1B2D" w:rsidRDefault="00717554" w:rsidP="00717554">
      <w:pPr>
        <w:numPr>
          <w:ilvl w:val="0"/>
          <w:numId w:val="6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З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аявлени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я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с указанием фактического адреса с географическими координатами водного объекта, юридический адрес;</w:t>
      </w:r>
    </w:p>
    <w:p w14:paraId="0FB12AA4" w14:textId="77777777" w:rsidR="00717554" w:rsidRPr="001E1B2D" w:rsidRDefault="00717554" w:rsidP="00717554">
      <w:pPr>
        <w:numPr>
          <w:ilvl w:val="0"/>
          <w:numId w:val="6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П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ояснительн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ой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записк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и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;</w:t>
      </w:r>
    </w:p>
    <w:p w14:paraId="1ABD921F" w14:textId="77777777" w:rsidR="00717554" w:rsidRPr="001E1B2D" w:rsidRDefault="00717554" w:rsidP="00717554">
      <w:pPr>
        <w:numPr>
          <w:ilvl w:val="0"/>
          <w:numId w:val="6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С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видетельств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о государственной регистрации физических, юридических лиц;</w:t>
      </w:r>
    </w:p>
    <w:p w14:paraId="759B801B" w14:textId="77777777" w:rsidR="00717554" w:rsidRPr="001E1B2D" w:rsidRDefault="00717554" w:rsidP="00717554">
      <w:pPr>
        <w:numPr>
          <w:ilvl w:val="0"/>
          <w:numId w:val="6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Д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окумент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право пользования пляжной зоны;</w:t>
      </w:r>
    </w:p>
    <w:p w14:paraId="698E8BA2" w14:textId="77777777" w:rsidR="00717554" w:rsidRPr="001E1B2D" w:rsidRDefault="00717554" w:rsidP="00717554">
      <w:pPr>
        <w:numPr>
          <w:ilvl w:val="0"/>
          <w:numId w:val="6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кт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водолазного обследования;</w:t>
      </w:r>
    </w:p>
    <w:p w14:paraId="1C8FC190" w14:textId="77777777" w:rsidR="00717554" w:rsidRPr="001E1B2D" w:rsidRDefault="00717554" w:rsidP="00717554">
      <w:pPr>
        <w:numPr>
          <w:ilvl w:val="0"/>
          <w:numId w:val="6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Д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вывоз ТКО;</w:t>
      </w:r>
    </w:p>
    <w:p w14:paraId="52016084" w14:textId="77777777" w:rsidR="00717554" w:rsidRPr="001E1B2D" w:rsidRDefault="00717554" w:rsidP="00717554">
      <w:pPr>
        <w:numPr>
          <w:ilvl w:val="0"/>
          <w:numId w:val="6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Д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водоснабжение и водоотведение объектов пляжной зоны;</w:t>
      </w:r>
    </w:p>
    <w:p w14:paraId="19E0926E" w14:textId="77777777" w:rsidR="00717554" w:rsidRPr="001E1B2D" w:rsidRDefault="00717554" w:rsidP="00717554">
      <w:pPr>
        <w:numPr>
          <w:ilvl w:val="0"/>
          <w:numId w:val="6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Д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оговора на пользование общественным туалетом и его обслуживание;</w:t>
      </w:r>
    </w:p>
    <w:p w14:paraId="575E3DB5" w14:textId="77777777" w:rsidR="00717554" w:rsidRPr="001E1B2D" w:rsidRDefault="00717554" w:rsidP="00717554">
      <w:pPr>
        <w:numPr>
          <w:ilvl w:val="0"/>
          <w:numId w:val="6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П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рограмм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ы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производственного контроля;</w:t>
      </w:r>
    </w:p>
    <w:p w14:paraId="557227FD" w14:textId="77777777" w:rsidR="00717554" w:rsidRPr="001E1B2D" w:rsidRDefault="00717554" w:rsidP="00717554">
      <w:pPr>
        <w:numPr>
          <w:ilvl w:val="0"/>
          <w:numId w:val="6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Д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выполнение лабораторных исследований по программе производственного контроля;</w:t>
      </w:r>
    </w:p>
    <w:p w14:paraId="1774E995" w14:textId="77777777" w:rsidR="00717554" w:rsidRPr="001E1B2D" w:rsidRDefault="00717554" w:rsidP="00717554">
      <w:pPr>
        <w:numPr>
          <w:ilvl w:val="0"/>
          <w:numId w:val="6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К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адастров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ого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план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земельного участка эксплуатируемого водного объекта;</w:t>
      </w:r>
    </w:p>
    <w:p w14:paraId="7B31B658" w14:textId="77777777" w:rsidR="00717554" w:rsidRPr="001E1B2D" w:rsidRDefault="00717554" w:rsidP="00717554">
      <w:pPr>
        <w:numPr>
          <w:ilvl w:val="0"/>
          <w:numId w:val="6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С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хем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ы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благоустройства зоны рекреации;</w:t>
      </w:r>
    </w:p>
    <w:p w14:paraId="3D2D372B" w14:textId="77777777" w:rsidR="00717554" w:rsidRPr="001E1B2D" w:rsidRDefault="00717554" w:rsidP="00717554">
      <w:pPr>
        <w:numPr>
          <w:ilvl w:val="0"/>
          <w:numId w:val="6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П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ротокол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ов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лабораторных исследований аккредитованных организаций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: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проб воды водоема (бактериологические, химические, паразитологические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,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радиологические показатели); пробы почвы (микробиологические, санитарно-химические, паразитологические показатели), микробиологические, химические, органолептические показатели питьевой воды с пляжной зоны;</w:t>
      </w:r>
    </w:p>
    <w:p w14:paraId="0AAA475D" w14:textId="77777777" w:rsidR="00717554" w:rsidRPr="001E1B2D" w:rsidRDefault="00717554" w:rsidP="00717554">
      <w:pPr>
        <w:numPr>
          <w:ilvl w:val="0"/>
          <w:numId w:val="6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П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лан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мероприятий по предотвращению загрязнений района водопользования (при необходимости с учётом мер по предотвращению возникновения аварийных ситуаций и мероприятия по ликвидации их последствий);</w:t>
      </w:r>
    </w:p>
    <w:p w14:paraId="41806CFD" w14:textId="77777777" w:rsidR="00717554" w:rsidRPr="001E1B2D" w:rsidRDefault="00717554" w:rsidP="00717554">
      <w:pPr>
        <w:numPr>
          <w:ilvl w:val="0"/>
          <w:numId w:val="6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Р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езультат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ов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лабораторных исследований по программе производственного контроля за текущий год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,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выполненные аккредитованными организациями.</w:t>
      </w:r>
    </w:p>
    <w:p w14:paraId="7F3FAF4D" w14:textId="77777777" w:rsidR="00717554" w:rsidRDefault="00717554" w:rsidP="00717554">
      <w:pPr>
        <w:shd w:val="clear" w:color="auto" w:fill="FFFFFF"/>
        <w:spacing w:before="75"/>
        <w:rPr>
          <w:rFonts w:ascii="OpenSans" w:eastAsia="Times New Roman" w:hAnsi="OpenSans" w:cs="Times New Roman"/>
          <w:color w:val="000000"/>
          <w:szCs w:val="24"/>
          <w:lang w:eastAsia="ru-RU"/>
        </w:rPr>
      </w:pPr>
    </w:p>
    <w:p w14:paraId="76E1F435" w14:textId="14B8C42A" w:rsidR="00717554" w:rsidRPr="001E1B2D" w:rsidRDefault="00717554" w:rsidP="00717554">
      <w:pPr>
        <w:shd w:val="clear" w:color="auto" w:fill="FFFFFF"/>
        <w:spacing w:before="75"/>
        <w:ind w:firstLine="708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Указанные документы за исключением заявления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и 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пояснительной записки предоставлять в виде заверенных копий в актуализированном и корректном виде (достоверные юридические и фактические адреса, последние перед подачей протоколы лабораторных исследований воды в зоне водопользования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(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протоколы лабораторных исследований должны быть оформлены на юридическое или физическое лицо, которое будет обслуживать пляжную зону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)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.</w:t>
      </w:r>
    </w:p>
    <w:p w14:paraId="55628E56" w14:textId="77777777" w:rsidR="00717554" w:rsidRPr="001E1B2D" w:rsidRDefault="00717554" w:rsidP="00717554">
      <w:pPr>
        <w:shd w:val="clear" w:color="auto" w:fill="FFFFFF"/>
        <w:spacing w:before="75"/>
        <w:ind w:firstLine="708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Пояснительная записка включает в себя описание местоположения по отношению к окружающей территории, наличию подходов и подъездных путей; информацию о наличии данных о рельефе дна, данных о гидравлическом режиме; оборудование зоны рекреации, наличие обозначения зоны купания, зонирование территории пляжа, наличие кабин для переодевания, обеспечение питьевой водой, устройство туалетов (наличие канализации или водонепроницаемого выгреба); наличие контейнеров для сбора мусора , урн и их размещение, организация вывоза отходов потребления, наличие договоров на </w:t>
      </w: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lastRenderedPageBreak/>
        <w:t>водоснабжение, вывоз отходов и мусора, медицинское обслуживание; наличие медицинского пункта, спасательной станции, размещение автостоянок, наличие программы производственного контроля за качеством воды водоема и песка пляжа, наличие протоколов лабораторных исследований воды водоема и песка пляжа , организацию мероприятий по санитарной охране зоны рекреации от загрязнения водоплавающей птицей, проведению дезинсекционных и дератизационных мероприятий.</w:t>
      </w:r>
    </w:p>
    <w:p w14:paraId="40FB6776" w14:textId="77777777" w:rsidR="00717554" w:rsidRDefault="00717554" w:rsidP="00717554">
      <w:pPr>
        <w:shd w:val="clear" w:color="auto" w:fill="FFFFFF"/>
        <w:spacing w:before="75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1E1B2D">
        <w:rPr>
          <w:rFonts w:ascii="OpenSans" w:eastAsia="Times New Roman" w:hAnsi="OpenSans" w:cs="Times New Roman"/>
          <w:color w:val="000000"/>
          <w:szCs w:val="24"/>
          <w:lang w:eastAsia="ru-RU"/>
        </w:rPr>
        <w:t>Заявление и перечисленные документы можно подать и в электронном виде.</w:t>
      </w:r>
    </w:p>
    <w:p w14:paraId="454BDEE3" w14:textId="77777777" w:rsidR="007E5FAA" w:rsidRDefault="007E5FAA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p w14:paraId="5A8F0FF6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3572"/>
        <w:gridCol w:w="2324"/>
        <w:gridCol w:w="2324"/>
      </w:tblGrid>
      <w:tr w:rsidR="006474E8" w:rsidRPr="00371DDB" w14:paraId="13E18AFE" w14:textId="77777777" w:rsidTr="006474E8">
        <w:trPr>
          <w:trHeight w:val="246"/>
        </w:trPr>
        <w:tc>
          <w:tcPr>
            <w:tcW w:w="706" w:type="pct"/>
            <w:vAlign w:val="center"/>
          </w:tcPr>
          <w:p w14:paraId="6D0A5FFC" w14:textId="56BB0548" w:rsidR="006474E8" w:rsidRPr="00371DDB" w:rsidRDefault="006474E8" w:rsidP="000557DA">
            <w:pPr>
              <w:suppressAutoHyphens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866" w:type="pct"/>
            <w:vAlign w:val="center"/>
          </w:tcPr>
          <w:p w14:paraId="42113AC3" w14:textId="5FC68ACC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Должность</w:t>
            </w:r>
          </w:p>
        </w:tc>
        <w:tc>
          <w:tcPr>
            <w:tcW w:w="1214" w:type="pct"/>
          </w:tcPr>
          <w:p w14:paraId="4F3CD52B" w14:textId="51D9699C" w:rsidR="006474E8" w:rsidRPr="003D2D9B" w:rsidRDefault="006474E8" w:rsidP="000557DA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  <w:tc>
          <w:tcPr>
            <w:tcW w:w="1214" w:type="pct"/>
            <w:vAlign w:val="center"/>
          </w:tcPr>
          <w:p w14:paraId="2A081A31" w14:textId="78EDA0C0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Ф. И. О.</w:t>
            </w:r>
          </w:p>
        </w:tc>
      </w:tr>
      <w:tr w:rsidR="006474E8" w:rsidRPr="00371DDB" w14:paraId="462D1B30" w14:textId="77777777" w:rsidTr="006474E8">
        <w:trPr>
          <w:trHeight w:val="246"/>
        </w:trPr>
        <w:tc>
          <w:tcPr>
            <w:tcW w:w="706" w:type="pct"/>
          </w:tcPr>
          <w:p w14:paraId="4E9DE6CC" w14:textId="2C520A46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Разработал</w:t>
            </w:r>
          </w:p>
        </w:tc>
        <w:tc>
          <w:tcPr>
            <w:tcW w:w="1866" w:type="pct"/>
          </w:tcPr>
          <w:p w14:paraId="1AAC069D" w14:textId="34C46202" w:rsidR="006474E8" w:rsidRPr="00371DDB" w:rsidRDefault="006474E8" w:rsidP="006474E8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 xml:space="preserve">Заведующий </w:t>
            </w:r>
            <w:r>
              <w:rPr>
                <w:lang w:eastAsia="ru-RU"/>
              </w:rPr>
              <w:t>отделением коммунальной гигиены и гигиены труда</w:t>
            </w:r>
          </w:p>
        </w:tc>
        <w:tc>
          <w:tcPr>
            <w:tcW w:w="1214" w:type="pct"/>
          </w:tcPr>
          <w:p w14:paraId="59DC75D0" w14:textId="77777777" w:rsidR="006474E8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54867B18" w14:textId="6BCAB05B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Богданов Ю.А.</w:t>
            </w:r>
          </w:p>
        </w:tc>
      </w:tr>
      <w:tr w:rsidR="006474E8" w:rsidRPr="00371DDB" w14:paraId="41A5BB28" w14:textId="77777777" w:rsidTr="006474E8">
        <w:trPr>
          <w:trHeight w:val="246"/>
        </w:trPr>
        <w:tc>
          <w:tcPr>
            <w:tcW w:w="706" w:type="pct"/>
          </w:tcPr>
          <w:p w14:paraId="4B78E79D" w14:textId="2A551219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Проверил</w:t>
            </w:r>
          </w:p>
        </w:tc>
        <w:tc>
          <w:tcPr>
            <w:tcW w:w="1866" w:type="pct"/>
          </w:tcPr>
          <w:p w14:paraId="785A5071" w14:textId="5AA242F6" w:rsidR="006474E8" w:rsidRPr="000557DA" w:rsidRDefault="006474E8" w:rsidP="000557DA">
            <w:pPr>
              <w:suppressAutoHyphens/>
              <w:rPr>
                <w:lang w:eastAsia="ru-RU"/>
              </w:rPr>
            </w:pPr>
            <w:r w:rsidRPr="000557DA">
              <w:rPr>
                <w:lang w:eastAsia="ru-RU"/>
              </w:rPr>
              <w:t>Технический директор ОИ, заведующий санитарно-гигиеническим отделом</w:t>
            </w:r>
          </w:p>
        </w:tc>
        <w:tc>
          <w:tcPr>
            <w:tcW w:w="1214" w:type="pct"/>
          </w:tcPr>
          <w:p w14:paraId="20A6D431" w14:textId="77777777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3BCCFA29" w14:textId="79A095FC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  <w:r w:rsidRPr="000557DA">
              <w:rPr>
                <w:lang w:eastAsia="ru-RU"/>
              </w:rPr>
              <w:t>Вшивцев В.А.</w:t>
            </w:r>
          </w:p>
        </w:tc>
      </w:tr>
    </w:tbl>
    <w:p w14:paraId="299A1BEC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sectPr w:rsidR="00A05F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E5C95" w14:textId="77777777" w:rsidR="00A05F30" w:rsidRDefault="00A05F30" w:rsidP="00A05F30">
      <w:r>
        <w:separator/>
      </w:r>
    </w:p>
  </w:endnote>
  <w:endnote w:type="continuationSeparator" w:id="0">
    <w:p w14:paraId="68A6358C" w14:textId="77777777" w:rsidR="00A05F30" w:rsidRDefault="00A05F30" w:rsidP="00A0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BCE54" w14:textId="77777777" w:rsidR="00A05F30" w:rsidRDefault="00A05F30" w:rsidP="00A05F30">
      <w:r>
        <w:separator/>
      </w:r>
    </w:p>
  </w:footnote>
  <w:footnote w:type="continuationSeparator" w:id="0">
    <w:p w14:paraId="03E14262" w14:textId="77777777" w:rsidR="00A05F30" w:rsidRDefault="00A05F30" w:rsidP="00A0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69"/>
      <w:gridCol w:w="3936"/>
      <w:gridCol w:w="2266"/>
    </w:tblGrid>
    <w:tr w:rsidR="005B7EF0" w:rsidRPr="008B40FA" w14:paraId="037CF8B1" w14:textId="77777777" w:rsidTr="001658FA">
      <w:trPr>
        <w:trHeight w:val="190"/>
      </w:trPr>
      <w:tc>
        <w:tcPr>
          <w:tcW w:w="1760" w:type="pct"/>
          <w:vMerge w:val="restart"/>
          <w:vAlign w:val="center"/>
        </w:tcPr>
        <w:p w14:paraId="4228A289" w14:textId="77777777" w:rsidR="005B7EF0" w:rsidRPr="008B40FA" w:rsidRDefault="005B7EF0" w:rsidP="005B7EF0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>ФБУЗ «Центр гигиены и эпидемиологии в Кировской области</w:t>
          </w:r>
        </w:p>
      </w:tc>
      <w:tc>
        <w:tcPr>
          <w:tcW w:w="2056" w:type="pct"/>
          <w:vAlign w:val="center"/>
        </w:tcPr>
        <w:p w14:paraId="2BF03CBC" w14:textId="7F89650A" w:rsidR="005B7EF0" w:rsidRPr="008B40FA" w:rsidRDefault="005B7EF0" w:rsidP="004F357E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Ф 0</w:t>
          </w:r>
          <w:r w:rsidR="004F357E">
            <w:rPr>
              <w:rFonts w:cs="Times New Roman"/>
              <w:sz w:val="16"/>
              <w:szCs w:val="16"/>
            </w:rPr>
            <w:t>1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001B4F48">
            <w:rPr>
              <w:rFonts w:cs="Times New Roman"/>
              <w:sz w:val="16"/>
              <w:szCs w:val="16"/>
            </w:rPr>
            <w:t>ДП 02-11-06-2024</w:t>
          </w:r>
        </w:p>
      </w:tc>
      <w:tc>
        <w:tcPr>
          <w:tcW w:w="1184" w:type="pct"/>
          <w:vMerge w:val="restart"/>
          <w:vAlign w:val="center"/>
        </w:tcPr>
        <w:p w14:paraId="3A56BF68" w14:textId="77777777" w:rsidR="005B7EF0" w:rsidRDefault="005B7EF0" w:rsidP="005B7EF0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 xml:space="preserve">Лист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PAGE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4F357E">
            <w:rPr>
              <w:rFonts w:cs="Times New Roman"/>
              <w:noProof/>
              <w:spacing w:val="20"/>
              <w:sz w:val="16"/>
              <w:szCs w:val="16"/>
            </w:rPr>
            <w:t>2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  <w:r w:rsidRPr="008B40FA">
            <w:rPr>
              <w:rFonts w:cs="Times New Roman"/>
              <w:spacing w:val="20"/>
              <w:sz w:val="16"/>
              <w:szCs w:val="16"/>
            </w:rPr>
            <w:t xml:space="preserve"> из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NUMPAGES 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4F357E">
            <w:rPr>
              <w:rFonts w:cs="Times New Roman"/>
              <w:noProof/>
              <w:spacing w:val="20"/>
              <w:sz w:val="16"/>
              <w:szCs w:val="16"/>
            </w:rPr>
            <w:t>2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</w:p>
        <w:p w14:paraId="2CF9BAB8" w14:textId="049109EC" w:rsidR="005B7EF0" w:rsidRPr="008B40FA" w:rsidRDefault="005B7EF0" w:rsidP="004F357E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>
            <w:rPr>
              <w:rFonts w:cs="Times New Roman"/>
              <w:spacing w:val="20"/>
              <w:sz w:val="16"/>
              <w:szCs w:val="16"/>
            </w:rPr>
            <w:t xml:space="preserve">Дата введения – </w:t>
          </w:r>
          <w:r w:rsidR="004F357E">
            <w:rPr>
              <w:rFonts w:cs="Times New Roman"/>
              <w:spacing w:val="20"/>
              <w:sz w:val="16"/>
              <w:szCs w:val="16"/>
            </w:rPr>
            <w:t>29.05.2024</w:t>
          </w:r>
        </w:p>
      </w:tc>
    </w:tr>
    <w:tr w:rsidR="005B7EF0" w:rsidRPr="008B40FA" w14:paraId="46F836EB" w14:textId="77777777" w:rsidTr="001658FA">
      <w:trPr>
        <w:trHeight w:val="270"/>
      </w:trPr>
      <w:tc>
        <w:tcPr>
          <w:tcW w:w="1760" w:type="pct"/>
          <w:vMerge/>
          <w:vAlign w:val="center"/>
        </w:tcPr>
        <w:p w14:paraId="6C5D5B97" w14:textId="77777777" w:rsidR="005B7EF0" w:rsidRPr="008B40FA" w:rsidRDefault="005B7EF0" w:rsidP="005B7EF0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548FA006" w14:textId="77777777" w:rsidR="005B7EF0" w:rsidRDefault="005B7EF0" w:rsidP="005B7EF0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Процедура инспекции</w:t>
          </w:r>
        </w:p>
      </w:tc>
      <w:tc>
        <w:tcPr>
          <w:tcW w:w="1184" w:type="pct"/>
          <w:vMerge/>
          <w:vAlign w:val="center"/>
        </w:tcPr>
        <w:p w14:paraId="24FADCE0" w14:textId="77777777" w:rsidR="005B7EF0" w:rsidRPr="008B40FA" w:rsidRDefault="005B7EF0" w:rsidP="005B7EF0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  <w:tr w:rsidR="005B7EF0" w:rsidRPr="008B40FA" w14:paraId="7DC00B8F" w14:textId="77777777" w:rsidTr="001658FA">
      <w:trPr>
        <w:trHeight w:val="555"/>
      </w:trPr>
      <w:tc>
        <w:tcPr>
          <w:tcW w:w="1760" w:type="pct"/>
          <w:vMerge/>
          <w:vAlign w:val="center"/>
        </w:tcPr>
        <w:p w14:paraId="3B5FC264" w14:textId="77777777" w:rsidR="005B7EF0" w:rsidRPr="008B40FA" w:rsidRDefault="005B7EF0" w:rsidP="005B7EF0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63B15B2E" w14:textId="77777777" w:rsidR="005B7EF0" w:rsidRDefault="005B7EF0" w:rsidP="005B7EF0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Перечень сведений и документов, необходимых для оценки соответствия</w:t>
          </w:r>
        </w:p>
      </w:tc>
      <w:tc>
        <w:tcPr>
          <w:tcW w:w="1184" w:type="pct"/>
          <w:vMerge/>
          <w:vAlign w:val="center"/>
        </w:tcPr>
        <w:p w14:paraId="2603E049" w14:textId="77777777" w:rsidR="005B7EF0" w:rsidRPr="008B40FA" w:rsidRDefault="005B7EF0" w:rsidP="005B7EF0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</w:tbl>
  <w:p w14:paraId="4CC8ED7F" w14:textId="77777777" w:rsidR="00A05F30" w:rsidRDefault="00A05F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98"/>
    <w:multiLevelType w:val="multilevel"/>
    <w:tmpl w:val="F9FE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A1E4C"/>
    <w:multiLevelType w:val="multilevel"/>
    <w:tmpl w:val="16A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A61C4"/>
    <w:multiLevelType w:val="multilevel"/>
    <w:tmpl w:val="36F8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7E0A"/>
    <w:multiLevelType w:val="multilevel"/>
    <w:tmpl w:val="C104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C6E13"/>
    <w:multiLevelType w:val="multilevel"/>
    <w:tmpl w:val="422AA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F5FC3"/>
    <w:multiLevelType w:val="multilevel"/>
    <w:tmpl w:val="FAB8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13"/>
    <w:rsid w:val="000557DA"/>
    <w:rsid w:val="001513D0"/>
    <w:rsid w:val="003C232B"/>
    <w:rsid w:val="003E3613"/>
    <w:rsid w:val="004F357E"/>
    <w:rsid w:val="005B7EF0"/>
    <w:rsid w:val="006474E8"/>
    <w:rsid w:val="00717554"/>
    <w:rsid w:val="007E5FAA"/>
    <w:rsid w:val="00843C68"/>
    <w:rsid w:val="008C4E7F"/>
    <w:rsid w:val="009018B0"/>
    <w:rsid w:val="00A05F30"/>
    <w:rsid w:val="00B70AA5"/>
    <w:rsid w:val="00DC37E5"/>
    <w:rsid w:val="00E7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B9F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Пономарева Ульяна Александровна</dc:creator>
  <cp:lastModifiedBy>Пономарева Ульяна Александровна</cp:lastModifiedBy>
  <cp:revision>6</cp:revision>
  <dcterms:created xsi:type="dcterms:W3CDTF">2024-04-04T07:54:00Z</dcterms:created>
  <dcterms:modified xsi:type="dcterms:W3CDTF">2024-06-04T10:22:00Z</dcterms:modified>
</cp:coreProperties>
</file>